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A7FB8" w14:textId="77777777" w:rsidR="00F36D8E" w:rsidRDefault="00F36D8E" w:rsidP="00F36D8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145271A4" w14:textId="77777777" w:rsidR="00F36D8E" w:rsidRDefault="00F36D8E" w:rsidP="00F36D8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9DE521B" w14:textId="77777777" w:rsidR="00F36D8E" w:rsidRDefault="00F36D8E" w:rsidP="00F36D8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2025/26 - 2029/2030</w:t>
      </w:r>
    </w:p>
    <w:p w14:paraId="2100B21F" w14:textId="77777777" w:rsidR="00F36D8E" w:rsidRDefault="00F36D8E" w:rsidP="00F36D8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2029/2030</w:t>
      </w:r>
    </w:p>
    <w:p w14:paraId="32BE20B6" w14:textId="77777777" w:rsidR="00F36D8E" w:rsidRDefault="00F36D8E" w:rsidP="00F36D8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F9AA9A" w14:textId="77777777" w:rsidR="00F36D8E" w:rsidRDefault="00F36D8E" w:rsidP="00F36D8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D8E" w14:paraId="49FF199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B088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4267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Prawo konkurencji</w:t>
            </w:r>
          </w:p>
        </w:tc>
      </w:tr>
      <w:tr w:rsidR="00F36D8E" w14:paraId="125CEB2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D48D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1A7C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36D8E" w14:paraId="049EE3D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046C" w14:textId="77777777" w:rsidR="00F36D8E" w:rsidRDefault="00F36D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6121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F36D8E" w14:paraId="05A7439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7E93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A957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F36D8E" w14:paraId="5AA058A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377D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B57E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F36D8E" w14:paraId="5EFAF15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A2C8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C1A0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F36D8E" w14:paraId="7D67796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64C1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2B42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36D8E" w14:paraId="30214AE7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9E46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9C26" w14:textId="3F2B6B94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36D8E" w14:paraId="22E7BDF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4561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5C54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IX</w:t>
            </w:r>
          </w:p>
        </w:tc>
      </w:tr>
      <w:tr w:rsidR="00F36D8E" w14:paraId="50D56F0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53D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CFB7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F36D8E" w14:paraId="43DFBE6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422E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AD3D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D8E" w14:paraId="0830246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1717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C6BE" w14:textId="77777777" w:rsid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Jan Olszewski</w:t>
            </w:r>
          </w:p>
        </w:tc>
      </w:tr>
      <w:tr w:rsidR="00F36D8E" w14:paraId="2064570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E11A" w14:textId="77777777" w:rsidR="00F36D8E" w:rsidRDefault="00F36D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8071" w14:textId="27A5DC3C" w:rsidR="00F36D8E" w:rsidRPr="00F36D8E" w:rsidRDefault="00F36D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36D8E">
              <w:rPr>
                <w:rFonts w:ascii="Corbel" w:hAnsi="Corbel"/>
                <w:b w:val="0"/>
                <w:color w:val="auto"/>
                <w:sz w:val="24"/>
                <w:szCs w:val="24"/>
              </w:rPr>
              <w:t>mgr Andrzej Górka, mgr Kamil Weber</w:t>
            </w:r>
          </w:p>
        </w:tc>
      </w:tr>
    </w:tbl>
    <w:p w14:paraId="446C6C0F" w14:textId="77777777" w:rsidR="00F36D8E" w:rsidRDefault="00F36D8E" w:rsidP="00F36D8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E7A493A" w14:textId="77777777" w:rsidR="00F36D8E" w:rsidRDefault="00F36D8E" w:rsidP="00F36D8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7FE61" w14:textId="77777777" w:rsidR="00F36D8E" w:rsidRDefault="00F36D8E" w:rsidP="00F36D8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3EC68D94" w14:textId="77777777" w:rsidR="00F36D8E" w:rsidRDefault="00F36D8E" w:rsidP="00F36D8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6D8E" w14:paraId="2CAA4F0F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4566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9D43B4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2E93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A39A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41DC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5284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5144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8A33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A0F7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06CA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2BCE" w14:textId="77777777" w:rsidR="00F36D8E" w:rsidRDefault="00F36D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36D8E" w14:paraId="5FD0F616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C865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8B47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12AA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BE94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FDCB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4044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63A4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7CFE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0433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EFE5" w14:textId="77777777" w:rsidR="00F36D8E" w:rsidRDefault="00F36D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7D9849" w14:textId="77777777" w:rsidR="00F36D8E" w:rsidRDefault="00F36D8E" w:rsidP="00F36D8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4810BE" w14:textId="77777777" w:rsidR="00F36D8E" w:rsidRDefault="00F36D8E" w:rsidP="00F36D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5EB73C56" w14:textId="77777777" w:rsidR="00F36D8E" w:rsidRDefault="00F36D8E" w:rsidP="00F36D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929DFD" w14:textId="77777777" w:rsidR="00F36D8E" w:rsidRDefault="00F36D8E" w:rsidP="00F36D8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16"/>
          <w:szCs w:val="16"/>
        </w:rPr>
        <w:t xml:space="preserve"> </w:t>
      </w: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31C3B838" w14:textId="77777777" w:rsidR="00F36D8E" w:rsidRDefault="00F36D8E" w:rsidP="00F36D8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3C7F16DC" w14:textId="77777777" w:rsidR="00F36D8E" w:rsidRDefault="00F36D8E" w:rsidP="00F36D8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9CB994" w14:textId="77777777" w:rsidR="00F36D8E" w:rsidRDefault="00F36D8E" w:rsidP="00F36D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8863CC" w14:textId="77777777" w:rsidR="00F36D8E" w:rsidRDefault="00F36D8E" w:rsidP="00F3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9347E" w14:textId="77777777" w:rsidR="00F36D8E" w:rsidRDefault="00F36D8E" w:rsidP="00F36D8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270FA622" w14:textId="77777777" w:rsidR="00F36D8E" w:rsidRDefault="00F36D8E" w:rsidP="00F36D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53BEC" w14:textId="77777777" w:rsidR="00F36D8E" w:rsidRDefault="00F36D8E" w:rsidP="00F36D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2CB890D8" w14:textId="77777777" w:rsidR="00F36D8E" w:rsidRDefault="00F36D8E" w:rsidP="00F36D8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36D8E" w14:paraId="00B2E901" w14:textId="77777777">
        <w:trPr>
          <w:trHeight w:val="699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8C94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6AA179AB" w14:textId="77777777" w:rsidR="00F36D8E" w:rsidRDefault="00F36D8E" w:rsidP="00F36D8E">
      <w:pPr>
        <w:pStyle w:val="Punktygwne"/>
        <w:spacing w:before="0" w:after="0"/>
        <w:rPr>
          <w:rFonts w:ascii="Corbel" w:hAnsi="Corbel"/>
          <w:szCs w:val="24"/>
        </w:rPr>
      </w:pPr>
    </w:p>
    <w:p w14:paraId="4FC578B4" w14:textId="77777777" w:rsidR="00F36D8E" w:rsidRDefault="00F36D8E" w:rsidP="00F36D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B45FB0" w14:textId="77777777" w:rsidR="00F36D8E" w:rsidRDefault="00F36D8E" w:rsidP="00F36D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>
        <w:rPr>
          <w:rFonts w:ascii="Corbel" w:hAnsi="Corbel"/>
          <w:b w:val="0"/>
          <w:bCs/>
          <w:szCs w:val="24"/>
        </w:rPr>
        <w:t>,</w:t>
      </w:r>
      <w:r>
        <w:rPr>
          <w:rFonts w:ascii="Corbel" w:hAnsi="Corbel"/>
          <w:szCs w:val="24"/>
        </w:rPr>
        <w:t xml:space="preserve"> treści Programowe i stosowane metody Dydaktyczne</w:t>
      </w:r>
    </w:p>
    <w:p w14:paraId="53C7DC05" w14:textId="77777777" w:rsidR="00F36D8E" w:rsidRDefault="00F36D8E" w:rsidP="00F36D8E">
      <w:pPr>
        <w:pStyle w:val="Punktygwne"/>
        <w:spacing w:before="0" w:after="0"/>
        <w:rPr>
          <w:rFonts w:ascii="Corbel" w:hAnsi="Corbel"/>
          <w:szCs w:val="24"/>
        </w:rPr>
      </w:pPr>
    </w:p>
    <w:p w14:paraId="35509A09" w14:textId="77777777" w:rsidR="00F36D8E" w:rsidRDefault="00F36D8E" w:rsidP="00F36D8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0322C86" w14:textId="77777777" w:rsidR="00F36D8E" w:rsidRDefault="00F36D8E" w:rsidP="00F36D8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F36D8E" w14:paraId="16128EA5" w14:textId="7777777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080A" w14:textId="77777777" w:rsidR="00F36D8E" w:rsidRDefault="00F36D8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4F1C" w14:textId="77777777" w:rsidR="00F36D8E" w:rsidRDefault="00F36D8E">
            <w:pPr>
              <w:spacing w:before="40"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/>
              </w:rPr>
              <w:t>Wykład ma za zadanie:</w:t>
            </w:r>
          </w:p>
          <w:p w14:paraId="60BFB917" w14:textId="77777777" w:rsidR="00F36D8E" w:rsidRDefault="00F36D8E" w:rsidP="00F36D8E">
            <w:pPr>
              <w:numPr>
                <w:ilvl w:val="0"/>
                <w:numId w:val="14"/>
              </w:numPr>
              <w:spacing w:after="0" w:line="240" w:lineRule="auto"/>
              <w:ind w:left="354" w:hanging="354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/>
              </w:rPr>
              <w:t>przekazanie zagadnień dotyczących ingerencji państwa w konkurencję jak i samą gospodarkę</w:t>
            </w:r>
          </w:p>
          <w:p w14:paraId="362C91FB" w14:textId="77777777" w:rsidR="00F36D8E" w:rsidRDefault="00F36D8E" w:rsidP="00F36D8E">
            <w:pPr>
              <w:numPr>
                <w:ilvl w:val="0"/>
                <w:numId w:val="14"/>
              </w:numPr>
              <w:spacing w:after="0" w:line="240" w:lineRule="auto"/>
              <w:ind w:left="354" w:hanging="354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/>
              </w:rPr>
              <w:t>zapoznanie się z najistotniejszymi zagadnieniami dotyczącymi konkurencji oraz instrumentami prawnymi służącymi jej realizacji,</w:t>
            </w:r>
          </w:p>
          <w:p w14:paraId="66E90FDD" w14:textId="77777777" w:rsidR="00F36D8E" w:rsidRDefault="00F36D8E" w:rsidP="00F36D8E">
            <w:pPr>
              <w:numPr>
                <w:ilvl w:val="0"/>
                <w:numId w:val="14"/>
              </w:numPr>
              <w:spacing w:after="40" w:line="240" w:lineRule="auto"/>
              <w:ind w:left="352" w:hanging="352"/>
              <w:rPr>
                <w:rFonts w:ascii="Corbel" w:hAnsi="Corbel"/>
              </w:rPr>
            </w:pPr>
            <w:r>
              <w:rPr>
                <w:rFonts w:ascii="Corbel" w:hAnsi="Corbel" w:cs="Calibri"/>
                <w:color w:val="000000"/>
              </w:rPr>
              <w:t>zapoznanie studenta z regulacjami prawnymi, funkcjami i zadaniami organów administracji publicznej w systemie ochrony konkurencji.</w:t>
            </w:r>
          </w:p>
        </w:tc>
      </w:tr>
    </w:tbl>
    <w:p w14:paraId="60F6FEFF" w14:textId="77777777" w:rsidR="00F36D8E" w:rsidRDefault="00F36D8E" w:rsidP="00F36D8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EA1592B" w14:textId="77777777" w:rsidR="00F36D8E" w:rsidRDefault="00F36D8E" w:rsidP="00F36D8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EE6D357" w14:textId="77777777" w:rsidR="00F36D8E" w:rsidRDefault="00F36D8E" w:rsidP="00F36D8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F36D8E" w14:paraId="0A20A4FE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68E0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4306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1B5E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F36D8E" w14:paraId="2C04194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64E76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C275" w14:textId="77777777" w:rsidR="00F36D8E" w:rsidRDefault="00F36D8E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color w:val="000000"/>
              </w:rPr>
              <w:t>definiuje podstawowe pojęcia publicznego prawa konkurencji, potrafi wskazać organy administracji publicznej dokonujące nadzoru rynku.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E82E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K_W05</w:t>
            </w:r>
          </w:p>
        </w:tc>
      </w:tr>
      <w:tr w:rsidR="00F36D8E" w14:paraId="7ABF0542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C0A4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131E" w14:textId="77777777" w:rsidR="00F36D8E" w:rsidRDefault="00F36D8E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color w:val="000000"/>
              </w:rPr>
              <w:t xml:space="preserve">ma uporządkowaną wiedzę na temat prawa konkurencji. Potrafi wskazać działania sprzeczne z zasadami uczciwej konkurencji i dobrymi obyczajami. Wykazuje się wiedzą </w:t>
            </w:r>
            <w:r>
              <w:rPr>
                <w:rFonts w:ascii="Corbel" w:hAnsi="Corbel"/>
                <w:bCs/>
                <w:color w:val="000000"/>
              </w:rPr>
              <w:br/>
              <w:t xml:space="preserve">w zakresie zasad prowadzenia działalności gospodarczej </w:t>
            </w:r>
            <w:r>
              <w:rPr>
                <w:rFonts w:ascii="Corbel" w:hAnsi="Corbel"/>
                <w:bCs/>
                <w:color w:val="000000"/>
              </w:rPr>
              <w:br/>
              <w:t>w zgodzie z poszanowaniem słusznych interesów konsumentów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40F1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K_W04, K_W05</w:t>
            </w:r>
          </w:p>
        </w:tc>
      </w:tr>
      <w:tr w:rsidR="00F36D8E" w14:paraId="14FCC662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BF86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33FE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posiada umiejętności obserwowania, wyszukiwania 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br/>
              <w:t>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9FF1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K_W09</w:t>
            </w:r>
          </w:p>
        </w:tc>
      </w:tr>
      <w:tr w:rsidR="00F36D8E" w14:paraId="74AD5160" w14:textId="77777777">
        <w:trPr>
          <w:trHeight w:val="16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534B4F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7CE7E5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potrafi wykorzystywać i integrować wiedzę z zakresu prawa konkurencji w celu analizy złożonych problemów. Wypowiada się na tematy związane z bieżącą sytuacją prawną dotyczącą prawa konkurencji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D92000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K_U01, K_U02, K_U04, KU_08, K_U12, K_K01</w:t>
            </w:r>
          </w:p>
        </w:tc>
      </w:tr>
      <w:tr w:rsidR="00F36D8E" w14:paraId="5DA0D0C0" w14:textId="77777777">
        <w:trPr>
          <w:trHeight w:val="37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17C49D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DE94E1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02270C" w14:textId="77777777" w:rsidR="00F36D8E" w:rsidRDefault="00F36D8E">
            <w:pPr>
              <w:pStyle w:val="NormalnyWeb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K_U04, KU_08, K_U08, K_U10, K_U12, K_U17, K_K06, K_K07, K_K10</w:t>
            </w:r>
          </w:p>
        </w:tc>
      </w:tr>
      <w:tr w:rsidR="00F36D8E" w14:paraId="196F801D" w14:textId="77777777">
        <w:trPr>
          <w:trHeight w:val="42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753AFA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6471DF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7144F6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K_K05, K_U12, K_K07, K_K10</w:t>
            </w:r>
          </w:p>
        </w:tc>
      </w:tr>
      <w:tr w:rsidR="00F36D8E" w14:paraId="6AD7DFEA" w14:textId="77777777">
        <w:trPr>
          <w:trHeight w:val="57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929DD8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BE41FB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potrafi myśleć i działać w sposób przedsiębiorczy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F62435" w14:textId="77777777" w:rsidR="00F36D8E" w:rsidRDefault="00F36D8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K_K05, K_K06</w:t>
            </w:r>
          </w:p>
        </w:tc>
      </w:tr>
    </w:tbl>
    <w:p w14:paraId="76B60BF7" w14:textId="77777777" w:rsidR="00F36D8E" w:rsidRDefault="00F36D8E" w:rsidP="00F36D8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29272BB" w14:textId="77777777" w:rsidR="00B00620" w:rsidRDefault="00B0062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0F5FB97" w14:textId="29EE35CB" w:rsidR="00F36D8E" w:rsidRDefault="00F36D8E" w:rsidP="00F36D8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3.3. Treści programowe</w:t>
      </w:r>
    </w:p>
    <w:p w14:paraId="37C1A93F" w14:textId="77777777" w:rsidR="00F36D8E" w:rsidRDefault="00F36D8E" w:rsidP="00F36D8E">
      <w:p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</w:p>
    <w:p w14:paraId="1B86A41D" w14:textId="77777777" w:rsidR="00F36D8E" w:rsidRDefault="00F36D8E" w:rsidP="00F36D8E">
      <w:pPr>
        <w:pStyle w:val="Akapitzlist"/>
        <w:numPr>
          <w:ilvl w:val="0"/>
          <w:numId w:val="15"/>
        </w:numPr>
        <w:spacing w:after="0" w:line="240" w:lineRule="auto"/>
        <w:ind w:left="812" w:hanging="392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752B84A" w14:textId="77777777" w:rsidR="00F36D8E" w:rsidRDefault="00F36D8E" w:rsidP="00F36D8E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F36D8E" w14:paraId="28316ACE" w14:textId="7777777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BADC" w14:textId="77777777" w:rsidR="00F36D8E" w:rsidRDefault="00F36D8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36D8E" w14:paraId="169AB9B4" w14:textId="7777777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355C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8D2F978" w14:textId="77777777" w:rsidR="00F36D8E" w:rsidRDefault="00F36D8E" w:rsidP="00F36D8E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0B94A95" w14:textId="3A2A6FB8" w:rsidR="00F36D8E" w:rsidRDefault="00F36D8E" w:rsidP="00F36D8E">
      <w:pPr>
        <w:pStyle w:val="Akapitzlist"/>
        <w:numPr>
          <w:ilvl w:val="0"/>
          <w:numId w:val="15"/>
        </w:numPr>
        <w:spacing w:after="0" w:line="240" w:lineRule="auto"/>
        <w:ind w:left="798" w:hanging="37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3F6F15BD" w14:textId="77777777" w:rsidR="00F36D8E" w:rsidRDefault="00F36D8E" w:rsidP="00F36D8E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5"/>
      </w:tblGrid>
      <w:tr w:rsidR="00F36D8E" w14:paraId="1008082D" w14:textId="77777777" w:rsidTr="00F36D8E">
        <w:trPr>
          <w:trHeight w:val="85"/>
        </w:trPr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C4CF" w14:textId="77777777" w:rsidR="00F36D8E" w:rsidRDefault="00F36D8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36D8E" w:rsidRPr="00185E26" w14:paraId="07EC1F6F" w14:textId="77777777" w:rsidTr="00F36D8E">
        <w:trPr>
          <w:trHeight w:val="85"/>
        </w:trPr>
        <w:tc>
          <w:tcPr>
            <w:tcW w:w="8805" w:type="dxa"/>
          </w:tcPr>
          <w:p w14:paraId="25AC80DC" w14:textId="77777777" w:rsidR="00F36D8E" w:rsidRPr="00F36D8E" w:rsidRDefault="00F36D8E" w:rsidP="00F36D8E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KONW1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</w:t>
            </w: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Ewolucyjny proces rozwoju publicznoprawnej ochrony konkurencji</w:t>
            </w:r>
          </w:p>
          <w:p w14:paraId="65D84CF7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1.1 Uwagi wstępne.</w:t>
            </w:r>
          </w:p>
          <w:p w14:paraId="360D7FCA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1.2 Wpływ zmian ustroju gospodarczego na konkurencję.</w:t>
            </w:r>
          </w:p>
          <w:p w14:paraId="3EEC3CFA" w14:textId="77777777" w:rsidR="00F36D8E" w:rsidRPr="00F36D8E" w:rsidRDefault="00F36D8E" w:rsidP="00F36D8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1.3 Ogólna charakterystyka ustawy z 1987 r., 1990 r. i 2007 r.</w:t>
            </w:r>
          </w:p>
        </w:tc>
      </w:tr>
      <w:tr w:rsidR="00F36D8E" w:rsidRPr="00185E26" w14:paraId="7EA42084" w14:textId="77777777" w:rsidTr="00F36D8E">
        <w:trPr>
          <w:trHeight w:val="272"/>
        </w:trPr>
        <w:tc>
          <w:tcPr>
            <w:tcW w:w="8805" w:type="dxa"/>
          </w:tcPr>
          <w:p w14:paraId="087EAC49" w14:textId="29F37CD5" w:rsidR="00F36D8E" w:rsidRPr="00F36D8E" w:rsidRDefault="00F36D8E" w:rsidP="00F36D8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KONW2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-</w:t>
            </w:r>
            <w:r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Cele ustawy o ochronie konkurencji i konsumentów i ważniejsze wyłączenia </w:t>
            </w:r>
          </w:p>
        </w:tc>
      </w:tr>
      <w:tr w:rsidR="00F36D8E" w:rsidRPr="003C06AE" w14:paraId="163B5310" w14:textId="77777777" w:rsidTr="00F36D8E">
        <w:trPr>
          <w:trHeight w:val="707"/>
        </w:trPr>
        <w:tc>
          <w:tcPr>
            <w:tcW w:w="8805" w:type="dxa"/>
          </w:tcPr>
          <w:p w14:paraId="79806A66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KONW3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Organizacja ochrony konkurencji i konsumentów.</w:t>
            </w:r>
          </w:p>
          <w:p w14:paraId="4E7ED466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3.1 Prezes Urzędu Ochrony Konkurencji i Konsumentów.</w:t>
            </w:r>
          </w:p>
          <w:p w14:paraId="72A724F1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3.2 Sąd ochrony konkurencji i konsumentów.</w:t>
            </w:r>
          </w:p>
          <w:p w14:paraId="1141343B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3.3 Krajowa Rada Rzeczników Konsumentów. </w:t>
            </w:r>
          </w:p>
          <w:p w14:paraId="0D7D6685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3.4 Rzecznik konsumentów i samorząd terytorialny.</w:t>
            </w:r>
          </w:p>
          <w:p w14:paraId="1ED2C0CE" w14:textId="41DE6B05" w:rsidR="00F36D8E" w:rsidRPr="00F36D8E" w:rsidRDefault="00F36D8E" w:rsidP="00F36D8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F36D8E">
              <w:rPr>
                <w:rFonts w:ascii="Corbel" w:eastAsia="Calibri" w:hAnsi="Corbel" w:cs="Calibri"/>
                <w:color w:val="000000"/>
                <w:u w:color="000000"/>
              </w:rPr>
              <w:t>3.5 Specjalne uprawnienia procesowe Komisji Europejskiej i innych organów UE</w:t>
            </w:r>
            <w:r>
              <w:rPr>
                <w:rFonts w:ascii="Corbel" w:eastAsia="Calibri" w:hAnsi="Corbel" w:cs="Calibri"/>
                <w:color w:val="000000"/>
                <w:u w:color="000000"/>
              </w:rPr>
              <w:t>.</w:t>
            </w:r>
          </w:p>
        </w:tc>
      </w:tr>
      <w:tr w:rsidR="00F36D8E" w:rsidRPr="003C06AE" w14:paraId="075EF007" w14:textId="77777777" w:rsidTr="00F36D8E">
        <w:trPr>
          <w:trHeight w:val="387"/>
        </w:trPr>
        <w:tc>
          <w:tcPr>
            <w:tcW w:w="8805" w:type="dxa"/>
          </w:tcPr>
          <w:p w14:paraId="7CEE5770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KONW4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Prewencyjna ochrona konkurencji</w:t>
            </w:r>
          </w:p>
          <w:p w14:paraId="5E9D6097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4.1 Tworzenie programów rozwoju konkurencji przez Prezesa UDKIK.</w:t>
            </w:r>
          </w:p>
          <w:p w14:paraId="568F7944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4.2 Prewencyjny nadzór nad koncentracją przedsiębiorców.</w:t>
            </w:r>
          </w:p>
          <w:p w14:paraId="592BFB92" w14:textId="0CBC7643" w:rsidR="00F36D8E" w:rsidRPr="00F36D8E" w:rsidRDefault="00F36D8E" w:rsidP="00F36D8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F36D8E">
              <w:rPr>
                <w:rFonts w:ascii="Corbel" w:eastAsia="Calibri" w:hAnsi="Corbel" w:cs="Calibri"/>
                <w:color w:val="000000"/>
                <w:u w:color="000000"/>
              </w:rPr>
              <w:t>4.3 Prewencyjna ochrona konkurencji poprzez informacje w Dzienniku Urzędowym Urzędu Ochrony Konkurencji i Konsumentów</w:t>
            </w:r>
            <w:r>
              <w:rPr>
                <w:rFonts w:ascii="Corbel" w:eastAsia="Calibri" w:hAnsi="Corbel" w:cs="Calibri"/>
                <w:color w:val="000000"/>
                <w:u w:color="000000"/>
              </w:rPr>
              <w:t>.</w:t>
            </w:r>
          </w:p>
        </w:tc>
      </w:tr>
      <w:tr w:rsidR="00F36D8E" w:rsidRPr="00185E26" w14:paraId="4522FBC5" w14:textId="77777777" w:rsidTr="00F36D8E">
        <w:trPr>
          <w:trHeight w:val="90"/>
        </w:trPr>
        <w:tc>
          <w:tcPr>
            <w:tcW w:w="8805" w:type="dxa"/>
          </w:tcPr>
          <w:p w14:paraId="602AE3CE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 xml:space="preserve">KONW5 -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Praktyki ograniczające konkurencję </w:t>
            </w:r>
          </w:p>
          <w:p w14:paraId="68723691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5.1 Zakaz porozumień ograniczających konkurencję.</w:t>
            </w:r>
          </w:p>
          <w:p w14:paraId="00A445A0" w14:textId="77777777" w:rsidR="00F36D8E" w:rsidRDefault="00F36D8E" w:rsidP="00F36D8E">
            <w:pPr>
              <w:pStyle w:val="Bezodstpw"/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5.2 Wyłączenia bagatelne.</w:t>
            </w:r>
          </w:p>
          <w:p w14:paraId="390FC2A6" w14:textId="6EC8F57A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5.3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Wyłączenia grupowe.</w:t>
            </w:r>
          </w:p>
          <w:p w14:paraId="2CAB24A3" w14:textId="77777777" w:rsidR="00F36D8E" w:rsidRPr="00F36D8E" w:rsidRDefault="00F36D8E" w:rsidP="00F36D8E">
            <w:pPr>
              <w:pStyle w:val="Bezodstpw"/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5.4 Zakaz nadużywania pozycji dominującej.</w:t>
            </w:r>
          </w:p>
          <w:p w14:paraId="3CA94759" w14:textId="35119AD8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5.5 Decyzje w sprawach praktyk ograniczających konkurencję</w:t>
            </w:r>
            <w:r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</w:tr>
      <w:tr w:rsidR="00F36D8E" w14:paraId="7578CC92" w14:textId="77777777" w:rsidTr="00F36D8E">
        <w:trPr>
          <w:trHeight w:val="90"/>
        </w:trPr>
        <w:tc>
          <w:tcPr>
            <w:tcW w:w="8805" w:type="dxa"/>
          </w:tcPr>
          <w:p w14:paraId="6A21979F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KONW6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Zakaz praktyk naruszające zbiorowe interesy konsumentów</w:t>
            </w:r>
          </w:p>
          <w:p w14:paraId="25C28D8C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6.1 Pojęcie praktyk naruszających </w:t>
            </w:r>
          </w:p>
          <w:p w14:paraId="33BD0515" w14:textId="77777777" w:rsidR="00F36D8E" w:rsidRPr="00F36D8E" w:rsidRDefault="00F36D8E" w:rsidP="00F36D8E">
            <w:pPr>
              <w:pStyle w:val="Bezodstpw"/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6.2 Decyzje w sprawach praktyk naruszających zbiorowe interesy konsumentów</w:t>
            </w:r>
          </w:p>
        </w:tc>
      </w:tr>
      <w:tr w:rsidR="00F36D8E" w14:paraId="1A853066" w14:textId="77777777" w:rsidTr="00F36D8E">
        <w:trPr>
          <w:trHeight w:val="90"/>
        </w:trPr>
        <w:tc>
          <w:tcPr>
            <w:tcW w:w="8805" w:type="dxa"/>
          </w:tcPr>
          <w:p w14:paraId="364CE3FE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KONW7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Postępowanie przed Prezesem UOKIK</w:t>
            </w:r>
          </w:p>
          <w:p w14:paraId="3ED350EE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7.1 Postępowanie wyjaśniające.</w:t>
            </w:r>
          </w:p>
          <w:p w14:paraId="4BD48324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7.2 Postępowanie antymonopolowe</w:t>
            </w:r>
          </w:p>
          <w:p w14:paraId="32B7DD43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7.3 </w:t>
            </w:r>
            <w:proofErr w:type="spellStart"/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Amicus</w:t>
            </w:r>
            <w:proofErr w:type="spellEnd"/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Curiae</w:t>
            </w:r>
            <w:proofErr w:type="spellEnd"/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.</w:t>
            </w:r>
          </w:p>
          <w:p w14:paraId="52B01D5E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7.4 Postępowanie antymonopolowe w sprawach praktyk ograniczających konkurencję.</w:t>
            </w:r>
          </w:p>
          <w:p w14:paraId="49638AAC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7.5 Postępowania w sprawach koncentracji przedsiębiorstw.</w:t>
            </w:r>
          </w:p>
          <w:p w14:paraId="0ACBB511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7.6 Postępowanie w sprawach praktyk naruszających zbiorowe interesy konsumentów.</w:t>
            </w:r>
          </w:p>
          <w:p w14:paraId="43EDF2B7" w14:textId="77777777" w:rsidR="00F36D8E" w:rsidRPr="00F36D8E" w:rsidRDefault="00F36D8E" w:rsidP="00F36D8E">
            <w:pPr>
              <w:pStyle w:val="Bezodstpw"/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7.7 Odwołanie od decyzji Prezesa UOKIK</w:t>
            </w:r>
          </w:p>
        </w:tc>
      </w:tr>
      <w:tr w:rsidR="00F36D8E" w14:paraId="2B5A4D4E" w14:textId="77777777" w:rsidTr="00F36D8E">
        <w:trPr>
          <w:trHeight w:val="90"/>
        </w:trPr>
        <w:tc>
          <w:tcPr>
            <w:tcW w:w="8805" w:type="dxa"/>
          </w:tcPr>
          <w:p w14:paraId="029E6B56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KONW8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Prawo pomocy publicznej</w:t>
            </w:r>
          </w:p>
          <w:p w14:paraId="12887127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8.1 Geneza</w:t>
            </w:r>
          </w:p>
          <w:p w14:paraId="17698D69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8.2 Prawo wspólnotowe</w:t>
            </w:r>
          </w:p>
          <w:p w14:paraId="4762AE04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8.3 Pojęcie pomocy państwa</w:t>
            </w:r>
          </w:p>
          <w:p w14:paraId="2FBAA420" w14:textId="77777777" w:rsidR="00F36D8E" w:rsidRPr="00F36D8E" w:rsidRDefault="00F36D8E" w:rsidP="00F36D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8.4 Zakaz pomocy państwa</w:t>
            </w:r>
          </w:p>
          <w:p w14:paraId="26371CD8" w14:textId="77777777" w:rsidR="00F36D8E" w:rsidRPr="00F36D8E" w:rsidRDefault="00F36D8E" w:rsidP="00F36D8E">
            <w:pPr>
              <w:pStyle w:val="Bezodstpw"/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>8.5 Postępowanie w sprawach dotyczących pomocy publicznej</w:t>
            </w:r>
          </w:p>
        </w:tc>
      </w:tr>
      <w:tr w:rsidR="00F36D8E" w14:paraId="3F5BA578" w14:textId="77777777" w:rsidTr="00F36D8E">
        <w:trPr>
          <w:trHeight w:val="90"/>
        </w:trPr>
        <w:tc>
          <w:tcPr>
            <w:tcW w:w="8805" w:type="dxa"/>
          </w:tcPr>
          <w:p w14:paraId="42548413" w14:textId="77777777" w:rsidR="00F36D8E" w:rsidRPr="00F36D8E" w:rsidRDefault="00F36D8E" w:rsidP="00F36D8E">
            <w:pPr>
              <w:pStyle w:val="Bezodstpw"/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KONW9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 Publicznoprawne instytucje w ustawie o zwalczaniu nieuczciwej konkurencji i ustawie o przeciwdziałaniu nieuczciwym praktykom rynkowym</w:t>
            </w:r>
          </w:p>
        </w:tc>
      </w:tr>
      <w:tr w:rsidR="00F36D8E" w:rsidRPr="007D26E1" w14:paraId="09F9B5EA" w14:textId="77777777" w:rsidTr="00F36D8E">
        <w:trPr>
          <w:trHeight w:val="90"/>
        </w:trPr>
        <w:tc>
          <w:tcPr>
            <w:tcW w:w="8805" w:type="dxa"/>
            <w:tcBorders>
              <w:bottom w:val="single" w:sz="4" w:space="0" w:color="auto"/>
            </w:tcBorders>
          </w:tcPr>
          <w:p w14:paraId="39E7BAE5" w14:textId="340B134C" w:rsidR="00F36D8E" w:rsidRPr="00F36D8E" w:rsidRDefault="00F36D8E" w:rsidP="00F36D8E">
            <w:pPr>
              <w:pStyle w:val="Bezodstpw"/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</w:pP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>KONW10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 -</w:t>
            </w:r>
            <w:r w:rsidRPr="00F36D8E">
              <w:rPr>
                <w:rFonts w:ascii="Corbel" w:hAnsi="Corbel" w:cs="Calibri"/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F36D8E">
              <w:rPr>
                <w:rFonts w:ascii="Corbel" w:hAnsi="Corbel" w:cs="Calibri"/>
                <w:color w:val="000000"/>
                <w:sz w:val="24"/>
                <w:szCs w:val="24"/>
                <w:u w:color="000000"/>
              </w:rPr>
              <w:t xml:space="preserve">Ochrona konkurencji na świecie ; zajęcia podsumowujące </w:t>
            </w:r>
          </w:p>
        </w:tc>
      </w:tr>
    </w:tbl>
    <w:p w14:paraId="4F6AD535" w14:textId="77777777" w:rsidR="00F36D8E" w:rsidRDefault="00F36D8E" w:rsidP="00B00620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41AC" w14:textId="77777777" w:rsidR="00F36D8E" w:rsidRDefault="00F36D8E" w:rsidP="00B0062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01E4125" w14:textId="77777777" w:rsidR="00F36D8E" w:rsidRDefault="00F36D8E" w:rsidP="00B006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6043B" w14:textId="77777777" w:rsidR="00F36D8E" w:rsidRDefault="00F36D8E" w:rsidP="00B00620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dyskusja oraz praca z tekstem ustawy; praca z kazusami</w:t>
      </w:r>
    </w:p>
    <w:p w14:paraId="48CD1277" w14:textId="77777777" w:rsidR="00F36D8E" w:rsidRDefault="00F36D8E" w:rsidP="00B006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A408F" w14:textId="77777777" w:rsidR="00F36D8E" w:rsidRDefault="00F36D8E" w:rsidP="00B006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19BAC48" w14:textId="77777777" w:rsidR="00F36D8E" w:rsidRDefault="00F36D8E" w:rsidP="00B006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2D0339" w14:textId="77777777" w:rsidR="00F36D8E" w:rsidRDefault="00F36D8E" w:rsidP="00B0062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75E17CF8" w14:textId="77777777" w:rsidR="00F36D8E" w:rsidRDefault="00F36D8E" w:rsidP="00B006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431"/>
        <w:gridCol w:w="2124"/>
      </w:tblGrid>
      <w:tr w:rsidR="00F36D8E" w14:paraId="746C9B0E" w14:textId="77777777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2489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9214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7430233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3EF6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543470" w14:textId="77777777" w:rsidR="00F36D8E" w:rsidRDefault="00F36D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6D8E" w14:paraId="1D27B11D" w14:textId="77777777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575C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0DDB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 w trakcie wykładu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758F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2F4EA903" w14:textId="77777777">
        <w:trPr>
          <w:trHeight w:val="26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67ED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A007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F778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070BB339" w14:textId="77777777">
        <w:trPr>
          <w:trHeight w:val="2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69993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932A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885A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1F54F2D4" w14:textId="77777777">
        <w:trPr>
          <w:trHeight w:val="30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52F8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D5F3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ADA9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3B06A530" w14:textId="77777777">
        <w:trPr>
          <w:trHeight w:val="2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7EF8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9C4C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1641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3292FA18" w14:textId="77777777">
        <w:trPr>
          <w:trHeight w:val="35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F9BC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45DD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FB56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36D8E" w14:paraId="63E0D0D8" w14:textId="77777777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13B1E" w14:textId="77777777" w:rsidR="00F36D8E" w:rsidRDefault="00F36D8E">
            <w:pPr>
              <w:pStyle w:val="Punktygwne"/>
              <w:spacing w:before="0" w:after="0"/>
              <w:ind w:left="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95C3EB" w14:textId="77777777" w:rsidR="00F36D8E" w:rsidRDefault="00F36D8E">
            <w:pPr>
              <w:pStyle w:val="Punktygwne"/>
              <w:spacing w:before="0" w:after="0"/>
              <w:ind w:left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89D5EE" w14:textId="77777777" w:rsidR="00F36D8E" w:rsidRDefault="00F36D8E">
            <w:pPr>
              <w:pStyle w:val="Punktygwne"/>
              <w:spacing w:before="0" w:after="0"/>
              <w:ind w:left="4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2B8CFF3" w14:textId="77777777" w:rsidR="00F36D8E" w:rsidRDefault="00F36D8E" w:rsidP="00F36D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0E832E" w14:textId="77777777" w:rsidR="00F36D8E" w:rsidRDefault="00F36D8E" w:rsidP="00F36D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CB56C0" w14:textId="77777777" w:rsidR="00F36D8E" w:rsidRDefault="00F36D8E" w:rsidP="00F36D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9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F36D8E" w14:paraId="2F3D6FD5" w14:textId="77777777">
        <w:trPr>
          <w:trHeight w:val="998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D1D4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Wynik pozytywny z zaliczenia osiąga osoba, która udzieli odpowiedzi poprawnej na co najmniej połowę pytań podczas zaliczenia pisemnego. Konkretne kryteria oceny zostaną uzależnione od liczby pytań występujących na zaliczeniu.</w:t>
            </w:r>
          </w:p>
        </w:tc>
      </w:tr>
    </w:tbl>
    <w:p w14:paraId="62F81299" w14:textId="77777777" w:rsidR="00F36D8E" w:rsidRDefault="00F36D8E" w:rsidP="00F3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E57B7" w14:textId="77777777" w:rsidR="00F36D8E" w:rsidRDefault="00F36D8E" w:rsidP="00F36D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A7E30C" w14:textId="77777777" w:rsidR="00F36D8E" w:rsidRDefault="00F36D8E" w:rsidP="00F36D8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6BDF57D" w14:textId="77777777" w:rsidR="00F36D8E" w:rsidRDefault="00F36D8E" w:rsidP="00F3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4246"/>
      </w:tblGrid>
      <w:tr w:rsidR="00F36D8E" w14:paraId="0FBE9A22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83BE" w14:textId="77777777" w:rsidR="00F36D8E" w:rsidRDefault="00F36D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E6DE" w14:textId="77777777" w:rsidR="00F36D8E" w:rsidRDefault="00F36D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36D8E" w14:paraId="7AA6805C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C8C5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ECCF" w14:textId="77777777" w:rsidR="00F36D8E" w:rsidRDefault="00F36D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</w:tc>
      </w:tr>
      <w:tr w:rsidR="00F36D8E" w14:paraId="45DB3C48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4E58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A568CD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4A5B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36D8E" w14:paraId="5516A625" w14:textId="77777777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6AFB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A8C3F9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086B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F36D8E" w14:paraId="20867E35" w14:textId="77777777">
        <w:trPr>
          <w:trHeight w:val="379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B8E6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3922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36D8E" w14:paraId="38C068A5" w14:textId="77777777">
        <w:trPr>
          <w:trHeight w:val="365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7B36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BD27" w14:textId="77777777" w:rsidR="00F36D8E" w:rsidRDefault="00F36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7B55DC" w14:textId="77777777" w:rsidR="00F36D8E" w:rsidRDefault="00F36D8E" w:rsidP="00F36D8E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99C38C" w14:textId="77777777" w:rsidR="00F36D8E" w:rsidRDefault="00F36D8E" w:rsidP="00F3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F978B" w14:textId="77777777" w:rsidR="00F36D8E" w:rsidRDefault="00F36D8E" w:rsidP="00F36D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195867D" w14:textId="77777777" w:rsidR="00F36D8E" w:rsidRDefault="00F36D8E" w:rsidP="00F36D8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3940"/>
      </w:tblGrid>
      <w:tr w:rsidR="00F36D8E" w14:paraId="0DF23294" w14:textId="77777777">
        <w:trPr>
          <w:trHeight w:val="39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3ED5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278D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36D8E" w14:paraId="446C36C8" w14:textId="77777777">
        <w:trPr>
          <w:trHeight w:val="39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1E47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3A59" w14:textId="77777777" w:rsidR="00F36D8E" w:rsidRDefault="00F36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7E7751" w14:textId="77777777" w:rsidR="00F36D8E" w:rsidRDefault="00F36D8E" w:rsidP="00F36D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CB41E0A" w14:textId="77777777" w:rsidR="00F36D8E" w:rsidRDefault="00F36D8E" w:rsidP="00F36D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4F147A3" w14:textId="77777777" w:rsidR="00F36D8E" w:rsidRDefault="00F36D8E" w:rsidP="00F36D8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55" w:type="dxa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</w:tblGrid>
      <w:tr w:rsidR="00B00620" w14:paraId="436F8AC8" w14:textId="77777777" w:rsidTr="00B00620">
        <w:trPr>
          <w:trHeight w:val="397"/>
        </w:trPr>
        <w:tc>
          <w:tcPr>
            <w:tcW w:w="7955" w:type="dxa"/>
          </w:tcPr>
          <w:p w14:paraId="0A87D7CC" w14:textId="77777777" w:rsidR="00B00620" w:rsidRPr="00B00620" w:rsidRDefault="00B00620" w:rsidP="00B00620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B00620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186E7678" w14:textId="77777777" w:rsidR="00B00620" w:rsidRPr="00B00620" w:rsidRDefault="00B00620" w:rsidP="00B00620">
            <w:pPr>
              <w:numPr>
                <w:ilvl w:val="0"/>
                <w:numId w:val="12"/>
              </w:numPr>
              <w:spacing w:before="60" w:after="0" w:line="240" w:lineRule="auto"/>
              <w:ind w:left="313"/>
              <w:rPr>
                <w:rFonts w:ascii="Corbel" w:eastAsia="Cambria" w:hAnsi="Corbel"/>
                <w:sz w:val="24"/>
                <w:szCs w:val="24"/>
              </w:rPr>
            </w:pPr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Olszewski J., </w:t>
            </w:r>
            <w:r w:rsidRPr="00B00620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konkurencji, </w:t>
            </w:r>
            <w:r w:rsidRPr="00B00620">
              <w:rPr>
                <w:rFonts w:ascii="Corbel" w:eastAsia="Cambria" w:hAnsi="Corbel"/>
                <w:sz w:val="24"/>
                <w:szCs w:val="24"/>
              </w:rPr>
              <w:t>Przemyśl 1998</w:t>
            </w:r>
          </w:p>
          <w:p w14:paraId="60C38666" w14:textId="77777777" w:rsidR="00B00620" w:rsidRP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eastAsia="Cambria" w:hAnsi="Corbel"/>
                <w:sz w:val="24"/>
                <w:szCs w:val="24"/>
              </w:rPr>
            </w:pPr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Olszewski J. (red.), </w:t>
            </w:r>
            <w:r w:rsidRPr="00B00620">
              <w:rPr>
                <w:rFonts w:ascii="Corbel" w:eastAsia="Cambria" w:hAnsi="Corbel"/>
                <w:i/>
                <w:sz w:val="24"/>
                <w:szCs w:val="24"/>
              </w:rPr>
              <w:t>Publiczne prawo gospodarcze</w:t>
            </w:r>
            <w:r w:rsidRPr="00B00620">
              <w:rPr>
                <w:rFonts w:ascii="Corbel" w:eastAsia="Cambria" w:hAnsi="Corbel"/>
                <w:sz w:val="24"/>
                <w:szCs w:val="24"/>
              </w:rPr>
              <w:t>, Warszawa 2015</w:t>
            </w:r>
          </w:p>
          <w:p w14:paraId="4807E8B9" w14:textId="77777777" w:rsidR="00B00620" w:rsidRP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eastAsia="Cambria" w:hAnsi="Corbel"/>
                <w:sz w:val="24"/>
                <w:szCs w:val="24"/>
              </w:rPr>
            </w:pPr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Olszewski J. (red.), </w:t>
            </w:r>
            <w:r w:rsidRPr="00B00620">
              <w:rPr>
                <w:rFonts w:ascii="Corbel" w:eastAsia="Cambria" w:hAnsi="Corbel"/>
                <w:i/>
                <w:iCs/>
                <w:sz w:val="24"/>
                <w:szCs w:val="24"/>
              </w:rPr>
              <w:t>Prawo</w:t>
            </w:r>
            <w:r w:rsidRPr="00B00620">
              <w:rPr>
                <w:rFonts w:ascii="Corbel" w:eastAsia="Cambria" w:hAnsi="Corbel"/>
                <w:i/>
                <w:sz w:val="24"/>
                <w:szCs w:val="24"/>
              </w:rPr>
              <w:t xml:space="preserve"> gospodarcze. Kompendium,</w:t>
            </w:r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 Warszawa 2019</w:t>
            </w:r>
          </w:p>
          <w:p w14:paraId="7277C9BC" w14:textId="77777777" w:rsidR="00B00620" w:rsidRP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eastAsia="Cambria" w:hAnsi="Corbel"/>
                <w:sz w:val="24"/>
                <w:szCs w:val="24"/>
              </w:rPr>
            </w:pPr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Olszewski J., </w:t>
            </w:r>
            <w:r w:rsidRPr="00B00620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Nadzór nad koncentracją przedsiębiorstw jako forma prewencyjnej ochrony konkurencji </w:t>
            </w:r>
            <w:r w:rsidRPr="00B00620">
              <w:rPr>
                <w:rFonts w:ascii="Corbel" w:eastAsia="Cambria" w:hAnsi="Corbel"/>
                <w:sz w:val="24"/>
                <w:szCs w:val="24"/>
              </w:rPr>
              <w:t>, Rzeszów, 2004</w:t>
            </w:r>
          </w:p>
          <w:p w14:paraId="78832AE7" w14:textId="77777777" w:rsidR="00B00620" w:rsidRP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eastAsia="Cambria" w:hAnsi="Corbel"/>
                <w:sz w:val="24"/>
                <w:szCs w:val="24"/>
                <w:lang w:eastAsia="pl-PL"/>
              </w:rPr>
              <w:t>Blicharz R. (red.) Publiczne prawo gospodarcze, Warszawa 2017</w:t>
            </w:r>
          </w:p>
          <w:p w14:paraId="5B11D8A0" w14:textId="5232EE49" w:rsidR="00B00620" w:rsidRP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</w:rPr>
              <w:t xml:space="preserve">Gronkiewicz-Waltz, Wierzbowski M. (red.), Prawo gospodarcze. </w:t>
            </w:r>
            <w:r w:rsidR="00480979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B00620">
              <w:rPr>
                <w:rFonts w:ascii="Corbel" w:hAnsi="Corbel"/>
                <w:color w:val="000000"/>
                <w:sz w:val="24"/>
                <w:szCs w:val="24"/>
              </w:rPr>
              <w:t>Aspekty publicznoprawne, Wyd. 2, Warszawa 2023</w:t>
            </w:r>
          </w:p>
          <w:p w14:paraId="56B063F1" w14:textId="77777777" w:rsidR="00B00620" w:rsidRDefault="00B00620" w:rsidP="00B00620">
            <w:pPr>
              <w:numPr>
                <w:ilvl w:val="0"/>
                <w:numId w:val="12"/>
              </w:numPr>
              <w:spacing w:after="0" w:line="240" w:lineRule="auto"/>
              <w:ind w:left="313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B00620">
              <w:rPr>
                <w:rFonts w:ascii="Corbel" w:eastAsia="Cambria" w:hAnsi="Corbel"/>
                <w:sz w:val="24"/>
                <w:szCs w:val="24"/>
              </w:rPr>
              <w:t>Powałowski</w:t>
            </w:r>
            <w:proofErr w:type="spellEnd"/>
            <w:r w:rsidRPr="00B00620">
              <w:rPr>
                <w:rFonts w:ascii="Corbel" w:eastAsia="Cambria" w:hAnsi="Corbel"/>
                <w:sz w:val="24"/>
                <w:szCs w:val="24"/>
              </w:rPr>
              <w:t xml:space="preserve"> A., </w:t>
            </w:r>
            <w:r w:rsidRPr="00B00620">
              <w:rPr>
                <w:rFonts w:ascii="Corbel" w:eastAsia="Cambria" w:hAnsi="Corbel"/>
                <w:i/>
                <w:sz w:val="24"/>
                <w:szCs w:val="24"/>
              </w:rPr>
              <w:t>Publiczne prawo gospodarcze</w:t>
            </w:r>
            <w:r w:rsidRPr="00B00620">
              <w:rPr>
                <w:rFonts w:ascii="Corbel" w:eastAsia="Cambria" w:hAnsi="Corbel"/>
                <w:sz w:val="24"/>
                <w:szCs w:val="24"/>
              </w:rPr>
              <w:t>, Warszawa 2020</w:t>
            </w:r>
          </w:p>
          <w:p w14:paraId="6D5B4705" w14:textId="47F6EB05" w:rsidR="00B00620" w:rsidRPr="00480979" w:rsidRDefault="00B00620" w:rsidP="00480979">
            <w:pPr>
              <w:numPr>
                <w:ilvl w:val="0"/>
                <w:numId w:val="12"/>
              </w:numPr>
              <w:spacing w:after="60" w:line="240" w:lineRule="auto"/>
              <w:ind w:left="312" w:hanging="357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480979">
              <w:rPr>
                <w:rFonts w:ascii="Corbel" w:eastAsia="Cambria" w:hAnsi="Corbel"/>
                <w:sz w:val="24"/>
                <w:szCs w:val="24"/>
              </w:rPr>
              <w:t>Strzyczkowski</w:t>
            </w:r>
            <w:proofErr w:type="spellEnd"/>
            <w:r w:rsidRPr="00480979">
              <w:rPr>
                <w:rFonts w:ascii="Corbel" w:eastAsia="Cambria" w:hAnsi="Corbel"/>
                <w:sz w:val="24"/>
                <w:szCs w:val="24"/>
              </w:rPr>
              <w:t xml:space="preserve"> K., </w:t>
            </w:r>
            <w:r w:rsidRPr="00480979">
              <w:rPr>
                <w:rFonts w:ascii="Corbel" w:eastAsia="Cambria" w:hAnsi="Corbel"/>
                <w:i/>
                <w:sz w:val="24"/>
                <w:szCs w:val="24"/>
              </w:rPr>
              <w:t>Prawo gospodarcze publiczne</w:t>
            </w:r>
            <w:r w:rsidRPr="00480979">
              <w:rPr>
                <w:rFonts w:ascii="Corbel" w:eastAsia="Cambria" w:hAnsi="Corbel"/>
                <w:sz w:val="24"/>
                <w:szCs w:val="24"/>
              </w:rPr>
              <w:t>, Warszawa 2023</w:t>
            </w:r>
          </w:p>
        </w:tc>
      </w:tr>
      <w:tr w:rsidR="00B00620" w14:paraId="599A93C7" w14:textId="77777777" w:rsidTr="00B00620">
        <w:trPr>
          <w:trHeight w:val="272"/>
        </w:trPr>
        <w:tc>
          <w:tcPr>
            <w:tcW w:w="7955" w:type="dxa"/>
          </w:tcPr>
          <w:p w14:paraId="66A2E9D1" w14:textId="77777777" w:rsidR="00B00620" w:rsidRPr="00B00620" w:rsidRDefault="00B00620" w:rsidP="00B00620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0062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2F0F050" w14:textId="77777777" w:rsidR="00B00620" w:rsidRPr="00B00620" w:rsidRDefault="00B00620" w:rsidP="0048097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0" w:line="240" w:lineRule="auto"/>
              <w:ind w:left="306" w:hanging="357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Banasiński C. (red.)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Polskie prawo antymonopolowe. Zarys wykładu, 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Warszawa 2018,</w:t>
            </w:r>
          </w:p>
          <w:p w14:paraId="403FEA6E" w14:textId="77777777" w:rsidR="00B00620" w:rsidRPr="00B00620" w:rsidRDefault="00B00620" w:rsidP="00B0062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1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Korbutowicz</w:t>
            </w:r>
            <w:proofErr w:type="spellEnd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T.,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Polityka konkurencji Wspólnoty Europejskiej i Unii Europejskiej w latach 1962-1997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, Oficyna Ekonomiczna, Kraków 2004,</w:t>
            </w:r>
          </w:p>
          <w:p w14:paraId="6F114EBB" w14:textId="77777777" w:rsidR="00B00620" w:rsidRPr="00B00620" w:rsidRDefault="00B00620" w:rsidP="00B0062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11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Maziarz A.,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Reguły konkurencji Unii </w:t>
            </w:r>
            <w:proofErr w:type="spellStart"/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Europeskiej</w:t>
            </w:r>
            <w:proofErr w:type="spellEnd"/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, 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Warszawa 2019,</w:t>
            </w:r>
          </w:p>
          <w:p w14:paraId="060654CC" w14:textId="67A5ED3A" w:rsidR="00B00620" w:rsidRPr="00B00620" w:rsidRDefault="00B00620" w:rsidP="00B0062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11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Sylwestrzak D.,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Postępowanie przed Prezesem Urzędu Ochrony Konkurencji </w:t>
            </w:r>
            <w:r w:rsidR="00480979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br/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i Konsumentów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, </w:t>
            </w:r>
            <w:proofErr w:type="spellStart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LexisNexis</w:t>
            </w:r>
            <w:proofErr w:type="spellEnd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2012,</w:t>
            </w:r>
          </w:p>
          <w:p w14:paraId="3BEFC923" w14:textId="77777777" w:rsidR="00B00620" w:rsidRPr="00B00620" w:rsidRDefault="00B00620" w:rsidP="00B0062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11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Bolecki A., Drozd S., </w:t>
            </w:r>
            <w:proofErr w:type="spellStart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Famirska</w:t>
            </w:r>
            <w:proofErr w:type="spellEnd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S.,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Prawo Konkurencji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, </w:t>
            </w:r>
            <w:proofErr w:type="spellStart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LexisNexis</w:t>
            </w:r>
            <w:proofErr w:type="spellEnd"/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2011</w:t>
            </w:r>
          </w:p>
          <w:p w14:paraId="790411F0" w14:textId="03156A91" w:rsidR="00B00620" w:rsidRPr="00B00620" w:rsidRDefault="00B00620" w:rsidP="0048097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60" w:line="240" w:lineRule="auto"/>
              <w:ind w:left="306" w:hanging="357"/>
              <w:rPr>
                <w:rFonts w:ascii="Corbel" w:hAnsi="Corbel"/>
                <w:sz w:val="24"/>
                <w:szCs w:val="24"/>
              </w:rPr>
            </w:pP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Skoczny T. (red.) i in., </w:t>
            </w:r>
            <w:r w:rsidRPr="00B0062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Ustawa o ochronie konkurencji i konsumentów. Komentarz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, C.</w:t>
            </w:r>
            <w:r w:rsidR="00480979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H.</w:t>
            </w:r>
            <w:r w:rsidR="00480979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</w:t>
            </w:r>
            <w:r w:rsidRPr="00B0062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Beck Warszawa 2014,</w:t>
            </w:r>
          </w:p>
          <w:p w14:paraId="2C31164E" w14:textId="77777777" w:rsidR="00B00620" w:rsidRPr="00B00620" w:rsidRDefault="00B00620" w:rsidP="00B00620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11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0062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lastRenderedPageBreak/>
              <w:t>Kohutek</w:t>
            </w:r>
            <w:proofErr w:type="spellEnd"/>
            <w:r w:rsidRPr="00B0062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 K., </w:t>
            </w:r>
            <w:r w:rsidRPr="00B0062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u w:color="000000"/>
              </w:rPr>
              <w:t>Praktyki wykluczające przedsiębiorstw dominujących</w:t>
            </w:r>
            <w:r w:rsidRPr="00B0062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, Wolters Kluwer 2012</w:t>
            </w:r>
          </w:p>
          <w:p w14:paraId="72317A63" w14:textId="77777777" w:rsidR="00B00620" w:rsidRPr="00B00620" w:rsidRDefault="00B00620" w:rsidP="00B00620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11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062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Olszewski J., </w:t>
            </w:r>
            <w:r w:rsidRPr="00B0062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Naruszanie praw konsumenckich w obrocie </w:t>
            </w:r>
            <w:proofErr w:type="spellStart"/>
            <w:r w:rsidRPr="00B0062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nieruchomościami</w:t>
            </w:r>
            <w:proofErr w:type="spellEnd"/>
            <w:r w:rsidRPr="00B00620">
              <w:rPr>
                <w:rFonts w:ascii="Corbel" w:hAnsi="Corbel"/>
                <w:b w:val="0"/>
                <w:smallCaps w:val="0"/>
                <w:szCs w:val="24"/>
              </w:rPr>
              <w:t xml:space="preserve">, [w.] </w:t>
            </w:r>
            <w:proofErr w:type="spellStart"/>
            <w:r w:rsidRPr="00B0062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Sprzedaz</w:t>
            </w:r>
            <w:proofErr w:type="spellEnd"/>
            <w:r w:rsidRPr="00B0062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̇ konsumencka w teorii i praktyce</w:t>
            </w:r>
            <w:r w:rsidRPr="00B00620">
              <w:rPr>
                <w:rFonts w:ascii="Corbel" w:hAnsi="Corbel"/>
                <w:b w:val="0"/>
                <w:smallCaps w:val="0"/>
                <w:szCs w:val="24"/>
              </w:rPr>
              <w:t>, red. Monika Jagielska, Warszawa 2016, s. 137-148</w:t>
            </w:r>
          </w:p>
          <w:p w14:paraId="6F310FD0" w14:textId="77777777" w:rsidR="00B00620" w:rsidRPr="00B00620" w:rsidRDefault="00B00620" w:rsidP="00480979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06" w:hanging="35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0620">
              <w:rPr>
                <w:rFonts w:ascii="Corbel" w:hAnsi="Corbel"/>
                <w:b w:val="0"/>
                <w:smallCaps w:val="0"/>
                <w:szCs w:val="24"/>
              </w:rPr>
              <w:t xml:space="preserve">Wasilewski R.R., </w:t>
            </w:r>
            <w:r w:rsidRPr="00B0062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Postępowanie dowodowe przed Prezesem Urzędu Ochrony Konkurencji i Konsumentów, </w:t>
            </w:r>
            <w:r w:rsidRPr="00B00620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</w:p>
          <w:p w14:paraId="48389579" w14:textId="77777777" w:rsidR="00B00620" w:rsidRDefault="00B00620" w:rsidP="00480979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06" w:hanging="35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0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Olszewski J., </w:t>
            </w:r>
            <w:proofErr w:type="spellStart"/>
            <w:r w:rsidRPr="00B00620">
              <w:rPr>
                <w:rFonts w:ascii="Corbel" w:hAnsi="Corbel"/>
                <w:b w:val="0"/>
                <w:bCs/>
                <w:smallCaps w:val="0"/>
                <w:szCs w:val="24"/>
              </w:rPr>
              <w:t>Fundowicz</w:t>
            </w:r>
            <w:proofErr w:type="spellEnd"/>
            <w:r w:rsidRPr="00B00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 (red.),</w:t>
            </w:r>
            <w:r w:rsidRPr="00B0062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Współczesne wyzwania prawa ochrony konkurencji i konsumentów - między teorią a praktyką</w:t>
            </w:r>
            <w:r w:rsidRPr="00B00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Rzeszów 2014</w:t>
            </w:r>
          </w:p>
          <w:p w14:paraId="3276F26E" w14:textId="05A2B896" w:rsidR="00B00620" w:rsidRPr="00480979" w:rsidRDefault="00B00620" w:rsidP="00480979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ind w:left="306" w:hanging="35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Stapiński R., </w:t>
            </w:r>
            <w:r w:rsidRPr="0048097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Zmiany proceduralne w ramach nowego prawa zamówień publicznych a udział mikro, małych i średnich przedsiębiorców w rynku,</w:t>
            </w:r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8097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Acta </w:t>
            </w:r>
            <w:proofErr w:type="spellStart"/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>Resoviensia</w:t>
            </w:r>
            <w:proofErr w:type="spellEnd"/>
            <w:r w:rsidRPr="0048097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2020, 28(110), 246–257.</w:t>
            </w:r>
          </w:p>
        </w:tc>
      </w:tr>
    </w:tbl>
    <w:p w14:paraId="1A242CD6" w14:textId="77777777" w:rsidR="00F36D8E" w:rsidRDefault="00F36D8E" w:rsidP="00F36D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8C4A9" w14:textId="77777777" w:rsidR="00F36D8E" w:rsidRDefault="00F36D8E" w:rsidP="00F36D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D8D11" w14:textId="77777777" w:rsidR="00F36D8E" w:rsidRDefault="00F36D8E" w:rsidP="00F36D8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0A96A6" w14:textId="1FC32DD9" w:rsidR="00F36D8E" w:rsidRDefault="00F36D8E">
      <w:pPr>
        <w:spacing w:after="0" w:line="240" w:lineRule="auto"/>
        <w:rPr>
          <w:rFonts w:ascii="Times New Roman" w:hAnsi="Times New Roman"/>
          <w:b/>
          <w:bCs/>
        </w:rPr>
      </w:pPr>
    </w:p>
    <w:sectPr w:rsidR="00F36D8E" w:rsidSect="00B00620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8D2C" w14:textId="77777777" w:rsidR="00FB2797" w:rsidRDefault="00FB2797" w:rsidP="00C16ABF">
      <w:pPr>
        <w:spacing w:after="0" w:line="240" w:lineRule="auto"/>
      </w:pPr>
      <w:r>
        <w:separator/>
      </w:r>
    </w:p>
  </w:endnote>
  <w:endnote w:type="continuationSeparator" w:id="0">
    <w:p w14:paraId="21DB747C" w14:textId="77777777" w:rsidR="00FB2797" w:rsidRDefault="00FB27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A444" w14:textId="77777777" w:rsidR="00FB2797" w:rsidRDefault="00FB2797" w:rsidP="00C16ABF">
      <w:pPr>
        <w:spacing w:after="0" w:line="240" w:lineRule="auto"/>
      </w:pPr>
      <w:r>
        <w:separator/>
      </w:r>
    </w:p>
  </w:footnote>
  <w:footnote w:type="continuationSeparator" w:id="0">
    <w:p w14:paraId="5A0F70F5" w14:textId="77777777" w:rsidR="00FB2797" w:rsidRDefault="00FB2797" w:rsidP="00C16ABF">
      <w:pPr>
        <w:spacing w:after="0" w:line="240" w:lineRule="auto"/>
      </w:pPr>
      <w:r>
        <w:continuationSeparator/>
      </w:r>
    </w:p>
  </w:footnote>
  <w:footnote w:id="1">
    <w:p w14:paraId="5019A0D0" w14:textId="77777777" w:rsidR="00F36D8E" w:rsidRDefault="00F36D8E" w:rsidP="00F36D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1496FF16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963E5"/>
    <w:multiLevelType w:val="multilevel"/>
    <w:tmpl w:val="142E98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07F5C"/>
    <w:multiLevelType w:val="hybridMultilevel"/>
    <w:tmpl w:val="98DA7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46B1913"/>
    <w:multiLevelType w:val="hybridMultilevel"/>
    <w:tmpl w:val="8AD6C6C6"/>
    <w:lvl w:ilvl="0" w:tplc="2C48269E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7721">
    <w:abstractNumId w:val="2"/>
  </w:num>
  <w:num w:numId="2" w16cid:durableId="165218194">
    <w:abstractNumId w:val="15"/>
  </w:num>
  <w:num w:numId="3" w16cid:durableId="698746965">
    <w:abstractNumId w:val="8"/>
  </w:num>
  <w:num w:numId="4" w16cid:durableId="1298416039">
    <w:abstractNumId w:val="0"/>
  </w:num>
  <w:num w:numId="5" w16cid:durableId="1770006194">
    <w:abstractNumId w:val="6"/>
  </w:num>
  <w:num w:numId="6" w16cid:durableId="802115821">
    <w:abstractNumId w:val="3"/>
  </w:num>
  <w:num w:numId="7" w16cid:durableId="1841966917">
    <w:abstractNumId w:val="4"/>
  </w:num>
  <w:num w:numId="8" w16cid:durableId="1190994249">
    <w:abstractNumId w:val="12"/>
  </w:num>
  <w:num w:numId="9" w16cid:durableId="1421179810">
    <w:abstractNumId w:val="14"/>
  </w:num>
  <w:num w:numId="10" w16cid:durableId="1482502418">
    <w:abstractNumId w:val="1"/>
  </w:num>
  <w:num w:numId="11" w16cid:durableId="386613324">
    <w:abstractNumId w:val="5"/>
  </w:num>
  <w:num w:numId="12" w16cid:durableId="1226835184">
    <w:abstractNumId w:val="13"/>
  </w:num>
  <w:num w:numId="13" w16cid:durableId="1729062319">
    <w:abstractNumId w:val="10"/>
  </w:num>
  <w:num w:numId="14" w16cid:durableId="14123848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367677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8536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485034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5706014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41960112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44"/>
    <w:rsid w:val="00015B8F"/>
    <w:rsid w:val="00022ECE"/>
    <w:rsid w:val="00023AB9"/>
    <w:rsid w:val="000360DB"/>
    <w:rsid w:val="00042A51"/>
    <w:rsid w:val="00042D2E"/>
    <w:rsid w:val="00044C82"/>
    <w:rsid w:val="000536D6"/>
    <w:rsid w:val="00057D29"/>
    <w:rsid w:val="00070ED6"/>
    <w:rsid w:val="000742DC"/>
    <w:rsid w:val="00084C12"/>
    <w:rsid w:val="00085A83"/>
    <w:rsid w:val="0009462C"/>
    <w:rsid w:val="00094B12"/>
    <w:rsid w:val="00096C46"/>
    <w:rsid w:val="000A296F"/>
    <w:rsid w:val="000A2A28"/>
    <w:rsid w:val="000A7A61"/>
    <w:rsid w:val="000B070C"/>
    <w:rsid w:val="000B192D"/>
    <w:rsid w:val="000B28EE"/>
    <w:rsid w:val="000B3E37"/>
    <w:rsid w:val="000D04B0"/>
    <w:rsid w:val="000D4A1D"/>
    <w:rsid w:val="000E2914"/>
    <w:rsid w:val="000E2FD7"/>
    <w:rsid w:val="000F1C57"/>
    <w:rsid w:val="000F5615"/>
    <w:rsid w:val="0010423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9554E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9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150"/>
    <w:rsid w:val="003A0A5B"/>
    <w:rsid w:val="003A1176"/>
    <w:rsid w:val="003A78FB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1519D"/>
    <w:rsid w:val="0042244A"/>
    <w:rsid w:val="0042745A"/>
    <w:rsid w:val="00431D5C"/>
    <w:rsid w:val="004362C6"/>
    <w:rsid w:val="00437FA2"/>
    <w:rsid w:val="004422DF"/>
    <w:rsid w:val="00445970"/>
    <w:rsid w:val="00461EFC"/>
    <w:rsid w:val="0046436E"/>
    <w:rsid w:val="004652C2"/>
    <w:rsid w:val="004706D1"/>
    <w:rsid w:val="00471326"/>
    <w:rsid w:val="0047598D"/>
    <w:rsid w:val="0048097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65616"/>
    <w:rsid w:val="0056696D"/>
    <w:rsid w:val="005721D5"/>
    <w:rsid w:val="005815A6"/>
    <w:rsid w:val="00586C3F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5F77BB"/>
    <w:rsid w:val="0061029B"/>
    <w:rsid w:val="0061298A"/>
    <w:rsid w:val="00616643"/>
    <w:rsid w:val="00617230"/>
    <w:rsid w:val="00621CE1"/>
    <w:rsid w:val="00624DAA"/>
    <w:rsid w:val="00627FC9"/>
    <w:rsid w:val="00647FA8"/>
    <w:rsid w:val="00650C5F"/>
    <w:rsid w:val="00654934"/>
    <w:rsid w:val="00655715"/>
    <w:rsid w:val="006620D9"/>
    <w:rsid w:val="00662C1B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344"/>
    <w:rsid w:val="00702C55"/>
    <w:rsid w:val="00706544"/>
    <w:rsid w:val="007072BA"/>
    <w:rsid w:val="0071620A"/>
    <w:rsid w:val="00721ACF"/>
    <w:rsid w:val="00724677"/>
    <w:rsid w:val="00725459"/>
    <w:rsid w:val="007327BD"/>
    <w:rsid w:val="00734471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C49A7"/>
    <w:rsid w:val="007D26E1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75901"/>
    <w:rsid w:val="00882742"/>
    <w:rsid w:val="00884922"/>
    <w:rsid w:val="00885F64"/>
    <w:rsid w:val="008871C4"/>
    <w:rsid w:val="008917F9"/>
    <w:rsid w:val="00892014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3659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0763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508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6CE3"/>
    <w:rsid w:val="00A97DE1"/>
    <w:rsid w:val="00AB053C"/>
    <w:rsid w:val="00AC22E0"/>
    <w:rsid w:val="00AD1146"/>
    <w:rsid w:val="00AD27D3"/>
    <w:rsid w:val="00AD66D6"/>
    <w:rsid w:val="00AE0473"/>
    <w:rsid w:val="00AE1160"/>
    <w:rsid w:val="00AE203C"/>
    <w:rsid w:val="00AE2E74"/>
    <w:rsid w:val="00AE5FCB"/>
    <w:rsid w:val="00AE6C15"/>
    <w:rsid w:val="00AF2C1E"/>
    <w:rsid w:val="00AF4AB9"/>
    <w:rsid w:val="00B00620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4142"/>
    <w:rsid w:val="00B75946"/>
    <w:rsid w:val="00B8056E"/>
    <w:rsid w:val="00B819C8"/>
    <w:rsid w:val="00B82308"/>
    <w:rsid w:val="00B90885"/>
    <w:rsid w:val="00BA1E01"/>
    <w:rsid w:val="00BA3D2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0A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A7892"/>
    <w:rsid w:val="00CC5ADA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52B2"/>
    <w:rsid w:val="00D608D1"/>
    <w:rsid w:val="00D67068"/>
    <w:rsid w:val="00D70202"/>
    <w:rsid w:val="00D738F0"/>
    <w:rsid w:val="00D74119"/>
    <w:rsid w:val="00D8075B"/>
    <w:rsid w:val="00D8678B"/>
    <w:rsid w:val="00DA2114"/>
    <w:rsid w:val="00DA642F"/>
    <w:rsid w:val="00DB0DCE"/>
    <w:rsid w:val="00DB5CE8"/>
    <w:rsid w:val="00DC6051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414EF"/>
    <w:rsid w:val="00E51E44"/>
    <w:rsid w:val="00E63348"/>
    <w:rsid w:val="00E7591A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36D8E"/>
    <w:rsid w:val="00F526AF"/>
    <w:rsid w:val="00F617C3"/>
    <w:rsid w:val="00F7066B"/>
    <w:rsid w:val="00F80C72"/>
    <w:rsid w:val="00F83B28"/>
    <w:rsid w:val="00FA46E5"/>
    <w:rsid w:val="00FB2797"/>
    <w:rsid w:val="00FB5A30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EE0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C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CE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5A1E-A636-415A-BD95-3E53B34C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1332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2025-11-19T11:24:00Z</cp:lastPrinted>
  <dcterms:created xsi:type="dcterms:W3CDTF">2025-09-15T17:13:00Z</dcterms:created>
  <dcterms:modified xsi:type="dcterms:W3CDTF">2025-11-19T11:26:00Z</dcterms:modified>
</cp:coreProperties>
</file>